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§3-1107. INSTRUMENT PAYABLE IN FOREIGN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