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3-1113</w:t>
        <w:t xml:space="preserve">.  </w:t>
      </w:r>
      <w:r>
        <w:rPr>
          <w:b/>
        </w:rPr>
        <w:t xml:space="preserve">Date of instrument</w:t>
      </w:r>
    </w:p>
    <w:p>
      <w:pPr>
        <w:jc w:val="both"/>
        <w:spacing w:before="100" w:after="0"/>
        <w:ind w:start="360"/>
        <w:ind w:firstLine="360"/>
      </w:pPr>
      <w:r>
        <w:rPr>
          <w:b/>
        </w:rPr>
        <w:t>(1)</w:t>
        <w:t xml:space="preserve">.  </w:t>
      </w:r>
      <w:r>
        <w:rPr>
          <w:b/>
        </w:rPr>
      </w:r>
      <w:r>
        <w:t xml:space="preserve"> </w:t>
      </w:r>
      <w:r>
        <w:t xml:space="preserve">An instrument may be antedated or postdated.  The date stated determines the time of payment if the instrument is payable at a fixed period after date.  Except as provided in </w:t>
      </w:r>
      <w:r>
        <w:t>section 4‑401, subsection (1‑B)</w:t>
      </w:r>
      <w:r>
        <w:t xml:space="preserve">, an instrument payable on demand is not payable before the date of the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If an instrument is undated, its date is the date of its issue or, in the case of an unissued instrument, the date it first comes into possession of a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§3-1113. Date of instrument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§3-1113. Date of instrument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§3-1113. DATE OF INSTRUMENT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