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§3-1605. Discharge of indorsers and accommodation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§3-1605. Discharge of indorsers and accommodation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§3-1605. DISCHARGE OF INDORSERS AND ACCOMMODATION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