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4-111</w:t>
        <w:t xml:space="preserve">.  </w:t>
      </w:r>
      <w:r>
        <w:rPr>
          <w:b/>
        </w:rPr>
        <w:t xml:space="preserve">Statute of limitations</w:t>
      </w:r>
    </w:p>
    <w:p>
      <w:pPr>
        <w:jc w:val="both"/>
        <w:spacing w:before="100" w:after="100"/>
        <w:ind w:start="360"/>
        <w:ind w:firstLine="360"/>
      </w:pPr>
      <w:r>
        <w:rPr/>
      </w:r>
      <w:r>
        <w:rPr/>
      </w:r>
      <w:r>
        <w:t xml:space="preserve">An action to enforce an obligation, duty or right arising under this Article must be commenced within 3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1993, c. 293,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§4-111.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§4-111.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§4-111.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