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4-1507</w:t>
        <w:t xml:space="preserve">.  </w:t>
      </w:r>
      <w:r>
        <w:rPr>
          <w:b/>
        </w:rPr>
        <w:t xml:space="preserve">Choice of law</w:t>
      </w:r>
    </w:p>
    <w:p>
      <w:pPr>
        <w:jc w:val="both"/>
        <w:spacing w:before="100" w:after="100"/>
        <w:ind w:start="360"/>
        <w:ind w:firstLine="360"/>
      </w:pPr>
      <w:r>
        <w:rPr>
          <w:b/>
        </w:rPr>
        <w:t>(1)</w:t>
        <w:t xml:space="preserve">.  </w:t>
      </w:r>
      <w:r>
        <w:rPr>
          <w:b/>
        </w:rPr>
      </w:r>
      <w:r>
        <w:t xml:space="preserve"> </w:t>
      </w:r>
      <w:r>
        <w:t xml:space="preserve">The following rules apply unless the affected parties otherwise agree or </w:t>
      </w:r>
      <w:r>
        <w:t>subsection (3)</w:t>
      </w:r>
      <w:r>
        <w:t xml:space="preserve"> applies.</w:t>
      </w:r>
    </w:p>
    <w:p>
      <w:pPr>
        <w:jc w:val="both"/>
        <w:spacing w:before="100" w:after="0"/>
        <w:ind w:start="720"/>
      </w:pPr>
      <w:r>
        <w:rPr/>
        <w:t>(a)</w:t>
        <w:t xml:space="preserve">.  </w:t>
      </w:r>
      <w:r>
        <w:rPr/>
      </w:r>
      <w:r>
        <w:t xml:space="preserve">The rights and obligations between the sender of a payment order and the receiving bank are governed by the law of the jurisdiction in which the receiving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rights and obligations between the beneficiary's bank and the beneficiary are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The issue of when payment is made pursuant to a funds transfer by the originator to the beneficiary is governed by the law of the jurisdiction in which the beneficiary's bank is located.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parties described in </w:t>
      </w:r>
      <w:r>
        <w:t>subsection (1), paragraphs (a)</w:t>
      </w:r>
      <w:r>
        <w:t xml:space="preserve">, </w:t>
      </w:r>
      <w:r>
        <w:t>(b)</w:t>
      </w:r>
      <w:r>
        <w:t xml:space="preserve"> and </w:t>
      </w:r>
      <w:r>
        <w:t>(c)</w:t>
      </w:r>
      <w:r>
        <w:t xml:space="preserve"> have made an agreement and selected the law of a particular jurisdiction to govern rights and obligations between them, the law of that jurisdiction governs those rights and obligations whether or not the payment order or the funds transfer bears a reasonable relation to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 funds transfer system rule may select the law of a particular jurisdiction to govern the rights and obligations:</w:t>
      </w:r>
    </w:p>
    <w:p>
      <w:pPr>
        <w:jc w:val="both"/>
        <w:spacing w:before="100" w:after="0"/>
        <w:ind w:start="720"/>
      </w:pPr>
      <w:r>
        <w:rPr/>
        <w:t>(a)</w:t>
        <w:t xml:space="preserve">.  </w:t>
      </w:r>
      <w:r>
        <w:rPr/>
      </w:r>
      <w:r>
        <w:t xml:space="preserve">Between participating banks with respect to payment orders transmitted or processed through the system;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Of some or all parties to a funds transfer, any part of which is carried out by means of the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pPr>
      <w:r>
        <w:rPr/>
      </w:r>
      <w:r>
        <w:rPr/>
      </w:r>
      <w:r>
        <w:t xml:space="preserve">A choice of law made pursuant to </w:t>
      </w:r>
      <w:r>
        <w:t>paragraph (a)</w:t>
      </w:r>
      <w:r>
        <w:t xml:space="preserve"> is binding on participating banks.  A choice of law made pursuant to </w:t>
      </w:r>
      <w:r>
        <w:t>paragraph (b)</w:t>
      </w:r>
      <w:r>
        <w:t xml:space="preserve"> is binding on the originator, other sender or a receiving bank having notice that the funds transfer system may be used in the funds transfer and notice of the choice of law by the system, when the originator, other sender or receiving bank issued or accepted a payment order.  The beneficiary of a funds transfer is bound by the choice of law if, when the funds transfer is initiated, the beneficiary has notice that the funds transfer system may be used in the funds transfer and notice of the choice of law by the system.  The law of a jurisdiction selected pursuant to this subsection may govern, whether or not that law bears a reasonable relation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the event of inconsistency between an agreement under </w:t>
      </w:r>
      <w:r>
        <w:t>subsection (2)</w:t>
      </w:r>
      <w:r>
        <w:t xml:space="preserve"> and a choice-of-law rule under </w:t>
      </w:r>
      <w:r>
        <w:t>subsection (3)</w:t>
      </w:r>
      <w:r>
        <w:t xml:space="preserve">, the agreement under </w:t>
      </w:r>
      <w:r>
        <w:t>subsection (2)</w:t>
      </w:r>
      <w:r>
        <w:t xml:space="preserv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If a funds transfer is made by use of more than one funds transfer system and there is inconsistency between the choice-of-law rules of the systems, the matter in issue is governed by the law of the selected jurisdiction that has the most significant relationship to the matter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§4-1507. Choice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§4-1507. Choice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§4-1507. CHOICE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