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8-1102</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"Adverse claim" means a claim that a claimant has a property interest in a financial asset and that it is a violation of the rights of the claimant for another person to hold, transfer or deal with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"Bearer form," as applied to a certificated security, means a form in which the security is payable to the bearer of the security certificate according to its terms but not by reason of an indorsement.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"Broker" means a person defined as a broker or dealer under the federal securities laws, but without excluding a bank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"Certificated security" means a security that is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"Clearing corporation" means:</w:t>
      </w:r>
    </w:p>
    <w:p>
      <w:pPr>
        <w:jc w:val="both"/>
        <w:spacing w:before="100" w:after="0"/>
        <w:ind w:start="1080"/>
      </w:pPr>
      <w:r>
        <w:rPr/>
        <w:t>(</w:t>
        <w:t>i</w:t>
        <w:t xml:space="preserve">)  </w:t>
      </w:r>
      <w:r>
        <w:rPr/>
      </w:r>
      <w:r>
        <w:t xml:space="preserve">A person that is registered as a "clearing agency" under the federal securities laws;</w:t>
      </w:r>
    </w:p>
    <w:p>
      <w:pPr>
        <w:jc w:val="both"/>
        <w:spacing w:before="100" w:after="0"/>
        <w:ind w:start="1080"/>
      </w:pPr>
      <w:r>
        <w:rPr/>
        <w:t>(</w:t>
        <w:t>ii</w:t>
        <w:t xml:space="preserve">)  </w:t>
      </w:r>
      <w:r>
        <w:rPr/>
      </w:r>
      <w:r>
        <w:t xml:space="preserve">A federal reserve bank; or</w:t>
      </w:r>
    </w:p>
    <w:p>
      <w:pPr>
        <w:jc w:val="both"/>
        <w:spacing w:before="100" w:after="0"/>
        <w:ind w:start="1080"/>
      </w:pPr>
      <w:r>
        <w:rPr/>
        <w:t>(</w:t>
        <w:t>iii</w:t>
        <w:t xml:space="preserve">)  </w:t>
      </w:r>
      <w:r>
        <w:rPr/>
      </w:r>
      <w:r>
        <w:t xml:space="preserve">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adoption of rules, are subject to regulation by a federal or state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"Communicate" means to:</w:t>
      </w:r>
    </w:p>
    <w:p>
      <w:pPr>
        <w:jc w:val="both"/>
        <w:spacing w:before="100" w:after="0"/>
        <w:ind w:start="1080"/>
      </w:pPr>
      <w:r>
        <w:rPr/>
        <w:t>(</w:t>
        <w:t>i</w:t>
        <w:t xml:space="preserve">)  </w:t>
      </w:r>
      <w:r>
        <w:rPr/>
      </w:r>
      <w:r>
        <w:t xml:space="preserve">Send a signed writing; or</w:t>
      </w:r>
    </w:p>
    <w:p>
      <w:pPr>
        <w:jc w:val="both"/>
        <w:spacing w:before="100" w:after="0"/>
        <w:ind w:start="1080"/>
      </w:pPr>
      <w:r>
        <w:rPr/>
        <w:t>(</w:t>
        <w:t>ii</w:t>
        <w:t xml:space="preserve">)  </w:t>
      </w:r>
      <w:r>
        <w:rPr/>
      </w:r>
      <w:r>
        <w:t xml:space="preserve">Transmit information by any mechanism agreed upon by the persons transmitting and receiving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(g)</w:t>
        <w:t xml:space="preserve">.  </w:t>
      </w:r>
      <w:r>
        <w:rPr/>
      </w:r>
      <w:r>
        <w:t xml:space="preserve">"Entitlement holder" means a person identified in the records of a securities intermediary as the person having a security entitlement against the securities intermediary.  If a person acquires a security entitlement by virtue of </w:t>
      </w:r>
      <w:r>
        <w:t>section 8‑1501, subsection (2), paragraph (b)</w:t>
      </w:r>
      <w:r>
        <w:t xml:space="preserve"> or </w:t>
      </w:r>
      <w:r>
        <w:t>(c)</w:t>
      </w:r>
      <w:r>
        <w:t xml:space="preserve">, that person is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(h)</w:t>
        <w:t xml:space="preserve">.  </w:t>
      </w:r>
      <w:r>
        <w:rPr/>
      </w:r>
      <w:r>
        <w:t xml:space="preserve">"Entitlement order" means a notification communicated to a securities intermediary directing transfer or redemption of a financial asset to which the entitlement holder has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(i)</w:t>
        <w:t xml:space="preserve">.  </w:t>
      </w:r>
      <w:r>
        <w:rPr/>
      </w:r>
      <w:r>
        <w:t xml:space="preserve">"Financial asset," except as otherwise provided in </w:t>
      </w:r>
      <w:r>
        <w:t>section 8‑1103</w:t>
      </w:r>
      <w:r>
        <w:t xml:space="preserve">, means:</w:t>
      </w:r>
    </w:p>
    <w:p>
      <w:pPr>
        <w:jc w:val="both"/>
        <w:spacing w:before="100" w:after="0"/>
        <w:ind w:start="1080"/>
      </w:pPr>
      <w:r>
        <w:rPr/>
        <w:t>(</w:t>
        <w:t>i</w:t>
        <w:t xml:space="preserve">)  </w:t>
      </w:r>
      <w:r>
        <w:rPr/>
      </w:r>
      <w:r>
        <w:t xml:space="preserve">A security;</w:t>
      </w:r>
    </w:p>
    <w:p>
      <w:pPr>
        <w:jc w:val="both"/>
        <w:spacing w:before="100" w:after="0"/>
        <w:ind w:start="1080"/>
      </w:pPr>
      <w:r>
        <w:rPr/>
        <w:t>(</w:t>
        <w:t>ii</w:t>
        <w:t xml:space="preserve">)  </w:t>
      </w:r>
      <w:r>
        <w:rPr/>
      </w:r>
      <w:r>
        <w:t xml:space="preserve">An obligation of a person or a share, participation or other interest in a person or in property or an enterprise of a person that is, or is of a type, dealt in or traded on financial markets or that is recognized in any area in which it is issued or dealt in as a medium for investment; or</w:t>
      </w:r>
    </w:p>
    <w:p>
      <w:pPr>
        <w:jc w:val="both"/>
        <w:spacing w:before="100" w:after="0"/>
        <w:ind w:start="1080"/>
      </w:pPr>
      <w:r>
        <w:rPr/>
        <w:t>(</w:t>
        <w:t>iii</w:t>
        <w:t xml:space="preserve">)  </w:t>
      </w:r>
      <w:r>
        <w:rPr/>
      </w:r>
      <w:r>
        <w:t xml:space="preserve">Any property that is held by a securities intermediary for another person in a securities account if the securities intermediary has expressly agreed with the other person that the property is to be treated as a financial asset under this Article.</w:t>
      </w:r>
    </w:p>
    <w:p>
      <w:pPr>
        <w:jc w:val="both"/>
        <w:spacing w:before="100" w:after="0"/>
        <w:ind w:start="720"/>
      </w:pPr>
      <w:r>
        <w:rPr/>
      </w:r>
      <w:r>
        <w:rPr/>
      </w:r>
      <w:r>
        <w:t xml:space="preserve">As context requires, the term means either the interest itself or the means by which a person's claim to it is evidenced, including a certificated or uncertificated security, a security certificate or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683, Pt. A,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§24 (RP); PL 2009, c. 325, Pt. B, §27 (AFF).]</w:t>
      </w:r>
    </w:p>
    <w:p>
      <w:pPr>
        <w:jc w:val="both"/>
        <w:spacing w:before="100" w:after="0"/>
        <w:ind w:start="720"/>
      </w:pPr>
      <w:r>
        <w:rPr/>
        <w:t>(k)</w:t>
        <w:t xml:space="preserve">.  </w:t>
      </w:r>
      <w:r>
        <w:rPr/>
      </w:r>
      <w:r>
        <w:t xml:space="preserve">"Indorsement" means a signature that alone or accompanied by other words is made on a security certificate in registered form or on a separate document for the purpose of assigning, transferring or redeeming the security or granting a power to assign, transfer or redeem it.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(l)</w:t>
        <w:t xml:space="preserve">.  </w:t>
      </w:r>
      <w:r>
        <w:rPr/>
      </w:r>
      <w:r>
        <w:t xml:space="preserve">"Instruction" means a notification communicated to the issuer of an uncertificated security that directs that the transfer of the security be registered or that the security be redeemed.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(m)</w:t>
        <w:t xml:space="preserve">.  </w:t>
      </w:r>
      <w:r>
        <w:rPr/>
      </w:r>
      <w:r>
        <w:t xml:space="preserve">"Registered form," as applied to a certificated security, means a form in which:</w:t>
      </w:r>
    </w:p>
    <w:p>
      <w:pPr>
        <w:jc w:val="both"/>
        <w:spacing w:before="100" w:after="0"/>
        <w:ind w:start="1080"/>
      </w:pPr>
      <w:r>
        <w:rPr/>
        <w:t>(</w:t>
        <w:t>i</w:t>
        <w:t xml:space="preserve">)  </w:t>
      </w:r>
      <w:r>
        <w:rPr/>
      </w:r>
      <w:r>
        <w:t xml:space="preserve">The security certificate specifies a person entitled to the security; and</w:t>
      </w:r>
    </w:p>
    <w:p>
      <w:pPr>
        <w:jc w:val="both"/>
        <w:spacing w:before="100" w:after="0"/>
        <w:ind w:start="1080"/>
      </w:pPr>
      <w:r>
        <w:rPr/>
        <w:t>(</w:t>
        <w:t>ii</w:t>
        <w:t xml:space="preserve">)  </w:t>
      </w:r>
      <w:r>
        <w:rPr/>
      </w:r>
      <w:r>
        <w:t xml:space="preserve">A transfer of the security may be registered upon books maintained for that purpose by or on behalf of the issuer or the security certificate so states.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(n)</w:t>
        <w:t xml:space="preserve">.  </w:t>
      </w:r>
      <w:r>
        <w:rPr/>
      </w:r>
      <w:r>
        <w:t xml:space="preserve">"Securities intermediary" means:</w:t>
      </w:r>
    </w:p>
    <w:p>
      <w:pPr>
        <w:jc w:val="both"/>
        <w:spacing w:before="100" w:after="0"/>
        <w:ind w:start="1080"/>
      </w:pPr>
      <w:r>
        <w:rPr/>
        <w:t>(</w:t>
        <w:t>i</w:t>
        <w:t xml:space="preserve">)  </w:t>
      </w:r>
      <w:r>
        <w:rPr/>
      </w:r>
      <w:r>
        <w:t xml:space="preserve">A clearing corporation; or</w:t>
      </w:r>
    </w:p>
    <w:p>
      <w:pPr>
        <w:jc w:val="both"/>
        <w:spacing w:before="100" w:after="0"/>
        <w:ind w:start="1080"/>
      </w:pPr>
      <w:r>
        <w:rPr/>
        <w:t>(</w:t>
        <w:t>ii</w:t>
        <w:t xml:space="preserve">)  </w:t>
      </w:r>
      <w:r>
        <w:rPr/>
      </w:r>
      <w:r>
        <w:t xml:space="preserve">A person, including a bank or broker, that in the ordinary course of its business maintains securities accounts for others and is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(o)</w:t>
        <w:t xml:space="preserve">.  </w:t>
      </w:r>
      <w:r>
        <w:rPr/>
      </w:r>
      <w:r>
        <w:t xml:space="preserve">"Security," except as otherwise provided in </w:t>
      </w:r>
      <w:r>
        <w:t>section 8‑1103</w:t>
      </w:r>
      <w:r>
        <w:t xml:space="preserve">, means an obligation of an issuer or a share, participation or other interest in an issuer or in property or an enterprise of an issuer:</w:t>
      </w:r>
    </w:p>
    <w:p>
      <w:pPr>
        <w:jc w:val="both"/>
        <w:spacing w:before="100" w:after="0"/>
        <w:ind w:start="1080"/>
      </w:pPr>
      <w:r>
        <w:rPr/>
        <w:t>(</w:t>
        <w:t>i</w:t>
        <w:t xml:space="preserve">)  </w:t>
      </w:r>
      <w:r>
        <w:rPr/>
      </w:r>
      <w:r>
        <w:t xml:space="preserve">That is represented by a security certificate in bearer or registered form or the transfer of which may be registered upon books maintained for that purpose by or on behalf of the issuer;</w:t>
      </w:r>
    </w:p>
    <w:p>
      <w:pPr>
        <w:jc w:val="both"/>
        <w:spacing w:before="100" w:after="0"/>
        <w:ind w:start="1080"/>
      </w:pPr>
      <w:r>
        <w:rPr/>
        <w:t>(</w:t>
        <w:t>ii</w:t>
        <w:t xml:space="preserve">)  </w:t>
      </w:r>
      <w:r>
        <w:rPr/>
      </w:r>
      <w:r>
        <w:t xml:space="preserve">That is one of a class or series or by its terms is divisible into a class or series of shares, participations, interests or obligations; and</w:t>
      </w:r>
    </w:p>
    <w:p>
      <w:pPr>
        <w:jc w:val="both"/>
        <w:spacing w:before="100" w:after="0"/>
        <w:ind w:start="1080"/>
      </w:pPr>
      <w:r>
        <w:rPr/>
        <w:t>(</w:t>
        <w:t>iii</w:t>
        <w:t xml:space="preserve">)  </w:t>
      </w:r>
      <w:r>
        <w:rPr/>
      </w:r>
      <w:r>
        <w:t xml:space="preserve">That:</w:t>
      </w:r>
    </w:p>
    <w:p>
      <w:pPr>
        <w:jc w:val="both"/>
        <w:spacing w:before="100" w:after="0"/>
        <w:ind w:start="1440"/>
      </w:pPr>
      <w:r>
        <w:rPr/>
        <w:t>(</w:t>
        <w:t>A</w:t>
        <w:t xml:space="preserve">)  </w:t>
      </w:r>
      <w:r>
        <w:rPr/>
      </w:r>
      <w:r>
        <w:t xml:space="preserve">Is, or is of a type, dealt in or traded on securities exchanges or securities markets; or</w:t>
      </w:r>
    </w:p>
    <w:p>
      <w:pPr>
        <w:jc w:val="both"/>
        <w:spacing w:before="100" w:after="0"/>
        <w:ind w:start="1440"/>
      </w:pPr>
      <w:r>
        <w:rPr/>
        <w:t>(</w:t>
        <w:t>B</w:t>
        <w:t xml:space="preserve">)  </w:t>
      </w:r>
      <w:r>
        <w:rPr/>
      </w:r>
      <w:r>
        <w:t xml:space="preserve">Is a medium for investment and by its terms expressly provides that it is a security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(p)</w:t>
        <w:t xml:space="preserve">.  </w:t>
      </w:r>
      <w:r>
        <w:rPr/>
      </w:r>
      <w:r>
        <w:t xml:space="preserve">"Security certificate" means a certificate representing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(q)</w:t>
        <w:t xml:space="preserve">.  </w:t>
      </w:r>
      <w:r>
        <w:rPr/>
      </w:r>
      <w:r>
        <w:t xml:space="preserve">"Security entitlement" means the rights and property interest of an entitlement holder with respect to a financial asset specified in </w:t>
      </w:r>
      <w:r>
        <w:t>Part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(r)</w:t>
        <w:t xml:space="preserve">.  </w:t>
      </w:r>
      <w:r>
        <w:rPr/>
      </w:r>
      <w:r>
        <w:t xml:space="preserve">"Uncertificated security" means a security that is not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§24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Section 8‑1106</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Section 8‑1301</w:t>
            </w:r>
          </w:p>
        </w:tc>
      </w:tr>
      <w:tr>
        <w:trPr>
          <w:cantSplit/>
        </w:trPr>
        <w:tc>
          <w:tcPr>
            <w:tcW w:w="504" w:type="dxa"/>
          </w:tcPr>
          <w:p>
            <w:pPr>
              <w:jc w:val="both"/>
            </w:pPr>
          </w:p>
        </w:tc>
        <w:tc>
          <w:tcPr>
            <w:tcW w:w="4579" w:type="dxa"/>
          </w:tcPr>
          <w:p>
            <w:pPr>
              <w:jc w:val="left"/>
            </w:pPr>
            <w:r>
              <w:t xml:space="preserve">Investment company security	</w:t>
            </w:r>
          </w:p>
        </w:tc>
        <w:tc>
          <w:tcPr>
            <w:tcW w:w="662" w:type="dxa"/>
          </w:tcPr>
          <w:p>
            <w:pPr>
              <w:jc w:val="both"/>
            </w:pPr>
          </w:p>
        </w:tc>
        <w:tc>
          <w:tcPr>
            <w:tcW w:w="3269" w:type="dxa"/>
          </w:tcPr>
          <w:p>
            <w:pPr>
              <w:jc w:val="left"/>
            </w:pPr>
            <w:r>
              <w:t>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characterization of a person, business or transaction for purposes of this Article does not determine the characterization of the person, business or transaction for purposes of any other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1997, c. 683, §A5 (AMD). PL 2009, c. 325, Pt. B, §24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