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8-1210</w:t>
        <w:t xml:space="preserve">.  </w:t>
      </w:r>
      <w:r>
        <w:rPr>
          <w:b/>
        </w:rPr>
        <w:t xml:space="preserve">Overissue</w:t>
      </w:r>
    </w:p>
    <w:p>
      <w:pPr>
        <w:jc w:val="both"/>
        <w:spacing w:before="100" w:after="0"/>
        <w:ind w:start="360"/>
        <w:ind w:firstLine="360"/>
      </w:pPr>
      <w:r>
        <w:rPr>
          <w:b/>
        </w:rPr>
        <w:t>(1)</w:t>
        <w:t xml:space="preserve">.  </w:t>
      </w:r>
      <w:r>
        <w:rPr>
          <w:b/>
        </w:rPr>
      </w:r>
      <w:r>
        <w:t xml:space="preserve"> </w:t>
      </w:r>
      <w:r>
        <w:t xml:space="preserve">In this section, "overissue" means the issue of securities in excess of the amount the issuer has corporate power to issue, but an overissue does not occur if appropriate action has cured the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the provisions of this Article which validate a security or compel its issue or reissue do not apply to the extent that validation, issue or reissue would result in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not reasonably available for purchase, a person entitled to issue or validation may recover from the issuer the price the person or the last purchaser for value paid for it with interest from the date of the person's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§8-1210. Overissue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§8-1210. Overissue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§8-1210. OVERISSUE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