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§8-1511. Priority among security interests and entitlement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§8-1511. PRIORITY AMONG SECURITY INTERESTS AND ENTITLEMENT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