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9-1107-A</w:t>
        <w:t xml:space="preserve">.  </w:t>
      </w:r>
      <w:r>
        <w:rPr>
          <w:b/>
        </w:rPr>
        <w:t xml:space="preserve">Control of controllable electronic record,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has control of a controllable electronic record as provided in </w:t>
      </w:r>
      <w:r>
        <w:t>section 12‑105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w:pPr>
        <w:jc w:val="both"/>
        <w:spacing w:before="100" w:after="0"/>
        <w:ind w:start="360"/>
        <w:ind w:firstLine="360"/>
      </w:pPr>
      <w:r>
        <w:rPr>
          <w:b/>
        </w:rPr>
        <w:t>(2)</w:t>
        <w:t xml:space="preserve">.  </w:t>
      </w:r>
      <w:r>
        <w:rPr>
          <w:b/>
        </w:rPr>
      </w:r>
      <w:r>
        <w:t xml:space="preserve"> </w:t>
      </w:r>
      <w:r>
        <w:t xml:space="preserve">A secured party has control of a controllable account or controllable payment intangible if the secured party has control of the controllable electronic record that evidences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§9-1107-A. Control of controllable electronic record, controllable account or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§9-1107-A. Control of controllable electronic record, controllable account or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§9-1107-A. CONTROL OF CONTROLLABLE ELECTRONIC RECORD, CONTROLLABLE ACCOUNT OR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