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9-1203</w:t>
        <w:t xml:space="preserve">.  </w:t>
      </w:r>
      <w:r>
        <w:rPr>
          <w:b/>
        </w:rPr>
        <w:t xml:space="preserve">Attachment and enforceability of security interest; proceeds; supporting obligations; formal requisites</w:t>
      </w:r>
    </w:p>
    <w:p>
      <w:pPr>
        <w:jc w:val="both"/>
        <w:spacing w:before="100" w:after="0"/>
        <w:ind w:start="360"/>
        <w:ind w:firstLine="360"/>
      </w:pPr>
      <w:r>
        <w:rPr>
          <w:b/>
        </w:rPr>
        <w:t>(1)</w:t>
        <w:t xml:space="preserve">.  </w:t>
      </w:r>
      <w:r>
        <w:rPr>
          <w:b/>
        </w:rPr>
      </w:r>
      <w:r>
        <w:t xml:space="preserve"> </w:t>
      </w:r>
      <w:r>
        <w:t xml:space="preserve">A security interest attaches to collateral when it becomes enforceable against the debtor with respect to the collateral, unless an agreement expressly postpones the time of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through </w:t>
      </w:r>
      <w:r>
        <w:t>(9)</w:t>
      </w:r>
      <w:r>
        <w:t xml:space="preserve">, a security interest is enforceable against the debtor and 3rd parties with respect to the collateral only if:</w:t>
      </w:r>
    </w:p>
    <w:p>
      <w:pPr>
        <w:jc w:val="both"/>
        <w:spacing w:before="100" w:after="0"/>
        <w:ind w:start="720"/>
      </w:pPr>
      <w:r>
        <w:rPr/>
        <w:t>(a)</w:t>
        <w:t xml:space="preserve">.  </w:t>
      </w:r>
      <w:r>
        <w:rPr/>
      </w:r>
      <w:r>
        <w:t xml:space="preserve">Value has been given;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has rights in the collateral or the power to transfer rights in the collateral to a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One of the following conditions is met:</w:t>
      </w:r>
    </w:p>
    <w:p>
      <w:pPr>
        <w:jc w:val="both"/>
        <w:spacing w:before="100" w:after="0"/>
        <w:ind w:start="1080"/>
      </w:pPr>
      <w:r>
        <w:rPr/>
        <w:t>(</w:t>
        <w:t>i</w:t>
        <w:t xml:space="preserve">)  </w:t>
      </w:r>
      <w:r>
        <w:rPr/>
      </w:r>
      <w:r>
        <w:t xml:space="preserve">The debtor has authenticated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8‑1302</w:t>
      </w:r>
      <w:r>
        <w:t xml:space="preserve"> pursuant to the debtor's security agreement; or</w:t>
      </w:r>
    </w:p>
    <w:p>
      <w:pPr>
        <w:jc w:val="both"/>
        <w:spacing w:before="100" w:after="0"/>
        <w:ind w:start="1080"/>
      </w:pPr>
      <w:r>
        <w:rPr/>
        <w:t>(</w:t>
        <w:t>iv</w:t>
        <w:t xml:space="preserve">)  </w:t>
      </w:r>
      <w:r>
        <w:rPr/>
      </w:r>
      <w:r>
        <w:t xml:space="preserve">The collateral is deposit accounts, electronic chattel paper, investment property, letter-of-credit rights or electronic documents, and the secured party has control under </w:t>
      </w:r>
      <w:r>
        <w:t>sections 9‑1104</w:t>
      </w:r>
      <w:r>
        <w:t xml:space="preserve">, </w:t>
      </w:r>
      <w:r>
        <w:t>9‑1105</w:t>
      </w:r>
      <w:r>
        <w:t xml:space="preserve">, </w:t>
      </w:r>
      <w:r>
        <w:t>9‑1106</w:t>
      </w:r>
      <w:r>
        <w:t xml:space="preserve"> or </w:t>
      </w:r>
      <w:r>
        <w:t>9‑1107</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2009, c. 324, Pt. B, §29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§29 (AMD); PL 2009, c. 324, Pt. B, §48 (AFF).]</w:t>
      </w:r>
    </w:p>
    <w:p>
      <w:pPr>
        <w:jc w:val="both"/>
        <w:spacing w:before="100" w:after="0"/>
        <w:ind w:start="360"/>
        <w:ind w:firstLine="360"/>
      </w:pPr>
      <w:r>
        <w:rPr>
          <w:b/>
        </w:rPr>
        <w:t>(3)</w:t>
        <w:t xml:space="preserve">.  </w:t>
      </w:r>
      <w:r>
        <w:rPr>
          <w:b/>
        </w:rPr>
      </w:r>
      <w:r>
        <w:t xml:space="preserve"> </w:t>
      </w:r>
      <w:r>
        <w:t>Subsection (2)</w:t>
      </w:r>
      <w:r>
        <w:t xml:space="preserve"> is subject to </w:t>
      </w:r>
      <w:r>
        <w:t>section 4‑210</w:t>
      </w:r>
      <w:r>
        <w:t xml:space="preserve"> on the security interest of a collecting bank, </w:t>
      </w:r>
      <w:r>
        <w:t>section 5‑1118</w:t>
      </w:r>
      <w:r>
        <w:t xml:space="preserve"> on the security interest of a letter-of-credit issuer or nominated person, </w:t>
      </w:r>
      <w:r>
        <w:t>section 9‑1110</w:t>
      </w:r>
      <w:r>
        <w:t xml:space="preserve"> on a security interest arising under </w:t>
      </w:r>
      <w:r>
        <w:t>Article 2</w:t>
      </w:r>
      <w:r>
        <w:t xml:space="preserve"> or </w:t>
      </w:r>
      <w:r>
        <w:t>2‑A</w:t>
      </w:r>
      <w:r>
        <w:t xml:space="preserve">, and </w:t>
      </w:r>
      <w:r>
        <w:t>section 9‑1206</w:t>
      </w:r>
      <w:r>
        <w:t xml:space="preserve"> on security interests in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becomes bound as debtor by a security agreement entered into by another person if, by operation of law other than this Article or by contract:</w:t>
      </w:r>
    </w:p>
    <w:p>
      <w:pPr>
        <w:jc w:val="both"/>
        <w:spacing w:before="100" w:after="0"/>
        <w:ind w:start="720"/>
      </w:pPr>
      <w:r>
        <w:rPr/>
        <w:t>(a)</w:t>
        <w:t xml:space="preserve">.  </w:t>
      </w:r>
      <w:r>
        <w:rPr/>
      </w:r>
      <w:r>
        <w:t xml:space="preserve">The security agreement becomes effective to create a security interest in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becomes generally obligated for the obligations of the other person, including the obligation secured under the security agreement, and acquires or succeeds to all or substantially all of the assets of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new debtor becomes bound as debtor by a security agreement entered into by another person:</w:t>
      </w:r>
    </w:p>
    <w:p>
      <w:pPr>
        <w:jc w:val="both"/>
        <w:spacing w:before="100" w:after="0"/>
        <w:ind w:start="720"/>
      </w:pPr>
      <w:r>
        <w:rPr/>
        <w:t>(a)</w:t>
        <w:t xml:space="preserve">.  </w:t>
      </w:r>
      <w:r>
        <w:rPr/>
      </w:r>
      <w:r>
        <w:t xml:space="preserve">The agreement satisfies </w:t>
      </w:r>
      <w:r>
        <w:t>subsection (2), paragraph (c)</w:t>
      </w:r>
      <w:r>
        <w:t xml:space="preserve"> with respect to existing or after-acquired property of the new debtor to the extent the property is described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agreement is not necessary to make a security interest in the property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attachment of a security interest in collateral gives the secured party the rights to proceeds provided by </w:t>
      </w:r>
      <w:r>
        <w:t>section 9‑1315</w:t>
      </w:r>
      <w:r>
        <w:t xml:space="preserve"> and is also attachment of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attachment of a security interest in a right to payment or performance secured by a security interest or other lien on personal or real property is also attachment of a security interest in the security interest, mortgage or other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attachment of a security interest in a securities account is also attachment of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The attachment of a security interest in a commodity account is also attachment of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§29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§9-1203. Attachment and enforceability of security interest; proceeds; supporting obligations; formal requisites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§9-1203. Attachment and enforceability of security interest; proceeds; supporting obligations; formal requisites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§9-1203. ATTACHMENT AND ENFORCEABILITY OF SECURITY INTEREST; PROCEEDS; SUPPORTING OBLIGATIONS; FORMAL REQUISITES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