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9-1204</w:t>
        <w:t xml:space="preserve">.  </w:t>
      </w:r>
      <w:r>
        <w:rPr>
          <w:b/>
        </w:rPr>
        <w:t xml:space="preserve">After-acquired property; future advances</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a security agreement may create or provide for a security interest in after-acquired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security interest does not attach under a term constituting an after-acquired property clause to:</w:t>
      </w:r>
    </w:p>
    <w:p>
      <w:pPr>
        <w:jc w:val="both"/>
        <w:spacing w:before="100" w:after="0"/>
        <w:ind w:start="720"/>
      </w:pPr>
      <w:r>
        <w:rPr/>
        <w:t>(a)</w:t>
        <w:t xml:space="preserve">.  </w:t>
      </w:r>
      <w:r>
        <w:rPr/>
      </w:r>
      <w:r>
        <w:t xml:space="preserve">Consumer goods, other than an accession when given as additional security, unless the debtor acquires rights in them within 10 days after the secured party gives value;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commercial tort claim.</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security agreement may provide that collateral secures, or that accounts, chattel paper, payment intangibles or promissory notes are sold in connection with future advances or other value whether or not the advances or value are given pursuant to commitment.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§9-1204. After-acquired property; future advances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§9-1204. After-acquired property; future advances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§9-1204. AFTER-ACQUIRED PROPERTY; FUTURE ADVANCES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