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§9-1303. LAW GOVERNING PERFECTION AND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