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§9-1312. PERFECTION OF SECURITY INTERESTS IN CHATTEL PAPER, DEPOSIT ACCOUNTS, DOCUMENTS, GOODS COVERED BY DOCUMENTS, INSTRUMENTS, INVESTMENT PROPERTY, LETTER-OF-CREDIT RIGHTS AND MONEY;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