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§9-1313. WHEN POSSESSION BY OR DELIVERY TO SECURED PARTY PERFECTS SECURITY INTEREST WITHOUT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