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9-1324-A</w:t>
        <w:t xml:space="preserve">.  </w:t>
      </w:r>
      <w:r>
        <w:rPr>
          <w:b/>
        </w:rPr>
        <w:t xml:space="preserve">Priority of production-money security interests and agricultural liens</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if the requirements of </w:t>
      </w:r>
      <w:r>
        <w:t>subsection (2)</w:t>
      </w:r>
      <w:r>
        <w:t xml:space="preserve"> are satisfied, a perfected production-money security interest in production-money crops has priority over a conflicting security interest in the same crops and, except as otherwise provided in </w:t>
      </w:r>
      <w:r>
        <w:t>section 9‑1327</w:t>
      </w:r>
      <w:r>
        <w:t xml:space="preserve">, also has priority in their identifiable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production-money security interest has priority under </w:t>
      </w:r>
      <w:r>
        <w:t>subsection (1)</w:t>
      </w:r>
      <w:r>
        <w:t xml:space="preserve"> if:</w:t>
      </w:r>
    </w:p>
    <w:p>
      <w:pPr>
        <w:jc w:val="both"/>
        <w:spacing w:before="100" w:after="0"/>
        <w:ind w:start="720"/>
      </w:pPr>
      <w:r>
        <w:rPr/>
        <w:t>(a)</w:t>
        <w:t xml:space="preserve">.  </w:t>
      </w:r>
      <w:r>
        <w:rPr/>
      </w:r>
      <w:r>
        <w:t xml:space="preserve">The production-money security interest is perfected by filing when the production-money secured party first gives new value to enable the debtor to produce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production-money secured party sends an authenticated notification to the holder of the conflicting security interest not less than 10 or more than 30 days before the production-money secured party first gives new value to enable the debtor to produce the crops if the holder had filed a financing statement covering the crops before the date of the filing made by the production-money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notification states that the production-money secured party has or expects to acquire a production-money security interest in the debtor's crops and provides a description of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or </w:t>
      </w:r>
      <w:r>
        <w:t>(5)</w:t>
      </w:r>
      <w:r>
        <w:t xml:space="preserve">, if more than one security interest qualifies for priority in the same collateral under </w:t>
      </w:r>
      <w:r>
        <w:t>subsection (1)</w:t>
      </w:r>
      <w:r>
        <w:t xml:space="preserve">,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To the extent that a person holding a perfected security interest in production-money crops that are the subject of a production-money security interest gives new value to enable the debtor to produce the production-money crops and the value is in fact used for the production of the production-money crops,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To the extent that a person holds both an agricultural lien and a production-money security interest in the same collateral securing the same obligations, the rules of priority applicable to agricultural liens govern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§9-1324-A. Priority of production-money security interests and agricultural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§9-1324-A. Priority of production-money security interests and agricultural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§9-1324-A. PRIORITY OF PRODUCTION-MONEY SECURITY INTERESTS AND AGRICULTURAL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