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9-1334</w:t>
        <w:t xml:space="preserve">.  </w:t>
      </w:r>
      <w:r>
        <w:rPr>
          <w:b/>
        </w:rPr>
        <w:t xml:space="preserve">Priority of security interests in fixtures and crops</w:t>
      </w:r>
    </w:p>
    <w:p>
      <w:pPr>
        <w:jc w:val="both"/>
        <w:spacing w:before="100" w:after="0"/>
        <w:ind w:start="360"/>
        <w:ind w:firstLine="360"/>
      </w:pPr>
      <w:r>
        <w:rPr>
          <w:b/>
        </w:rPr>
        <w:t>(1)</w:t>
        <w:t xml:space="preserve">.  </w:t>
      </w:r>
      <w:r>
        <w:rPr>
          <w:b/>
        </w:rPr>
      </w:r>
      <w:r>
        <w:t xml:space="preserve"> </w:t>
      </w:r>
      <w:r>
        <w:t xml:space="preserve">A security interest under this Article may be created in goods that are fixtures or may continue in goods that become fixtures.  A security interest does not exist under this Article in ordinary building materials incorporated into an improvement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Article does not prevent creation of an encumbrance upon fixtures under real property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In cases not governed by </w:t>
      </w:r>
      <w:r>
        <w:t>subsections (4)</w:t>
      </w:r>
      <w:r>
        <w:t xml:space="preserve"> to </w:t>
      </w:r>
      <w:r>
        <w:t>(8)</w:t>
      </w:r>
      <w:r>
        <w:t xml:space="preserve">, a security interest in fixtures is subordinate to a conflicting interest of an encumbrancer or owner of the related real property other than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Except as otherwise provided in </w:t>
      </w:r>
      <w:r>
        <w:t>subsection (8)</w:t>
      </w:r>
      <w:r>
        <w:t xml:space="preserve">, a perfected security interest in fixtures has priority over a conflicting interest of an encumbrancer or owner of the real property if the debtor has an interest of record in or is in possession of the real property and:</w:t>
      </w:r>
    </w:p>
    <w:p>
      <w:pPr>
        <w:jc w:val="both"/>
        <w:spacing w:before="100" w:after="0"/>
        <w:ind w:start="720"/>
      </w:pPr>
      <w:r>
        <w:rPr/>
        <w:t>(a)</w:t>
        <w:t xml:space="preserve">.  </w:t>
      </w:r>
      <w:r>
        <w:rPr/>
      </w:r>
      <w:r>
        <w:t xml:space="preserve">The security interest is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interest of the encumbrancer or owner arises before the goods become fixtures;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security interest is perfected by a fixture filing before the goods become fixtures or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A perfected security interest in fixtures has priority over a conflicting interest of an encumbrancer or owner of the real property if:</w:t>
      </w:r>
    </w:p>
    <w:p>
      <w:pPr>
        <w:jc w:val="both"/>
        <w:spacing w:before="100" w:after="0"/>
        <w:ind w:start="720"/>
      </w:pPr>
      <w:r>
        <w:rPr/>
        <w:t>(a)</w:t>
        <w:t xml:space="preserve">.  </w:t>
      </w:r>
      <w:r>
        <w:rPr/>
      </w:r>
      <w:r>
        <w:t xml:space="preserve">The debtor has an interest of record in the real property or is in possession of the real property and the security interest:</w:t>
      </w:r>
    </w:p>
    <w:p>
      <w:pPr>
        <w:jc w:val="both"/>
        <w:spacing w:before="100" w:after="0"/>
        <w:ind w:start="1080"/>
      </w:pPr>
      <w:r>
        <w:rPr/>
        <w:t>(</w:t>
        <w:t>i</w:t>
        <w:t xml:space="preserve">)  </w:t>
      </w:r>
      <w:r>
        <w:rPr/>
      </w:r>
      <w:r>
        <w:t xml:space="preserve">Is perfected by a fixture filing before the interest of the encumbrancer or owner is of record; and</w:t>
      </w:r>
    </w:p>
    <w:p>
      <w:pPr>
        <w:jc w:val="both"/>
        <w:spacing w:before="100" w:after="0"/>
        <w:ind w:start="1080"/>
      </w:pPr>
      <w:r>
        <w:rPr/>
        <w:t>(</w:t>
        <w:t>ii</w:t>
        <w:t xml:space="preserve">)  </w:t>
      </w:r>
      <w:r>
        <w:rPr/>
      </w:r>
      <w:r>
        <w:t xml:space="preserve">Has priority over any conflicting interest of a predecessor in title of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Before the goods become fixtures, the security interest is perfected by any method permitted by this Article and the fixtures are readily removable:</w:t>
      </w:r>
    </w:p>
    <w:p>
      <w:pPr>
        <w:jc w:val="both"/>
        <w:spacing w:before="100" w:after="0"/>
        <w:ind w:start="1080"/>
      </w:pPr>
      <w:r>
        <w:rPr/>
        <w:t>(</w:t>
        <w:t>i</w:t>
        <w:t xml:space="preserve">)  </w:t>
      </w:r>
      <w:r>
        <w:rPr/>
      </w:r>
      <w:r>
        <w:t xml:space="preserve">Factory or office machines;</w:t>
      </w:r>
    </w:p>
    <w:p>
      <w:pPr>
        <w:jc w:val="both"/>
        <w:spacing w:before="100" w:after="0"/>
        <w:ind w:start="1080"/>
      </w:pPr>
      <w:r>
        <w:rPr/>
        <w:t>(</w:t>
        <w:t>ii</w:t>
        <w:t xml:space="preserve">)  </w:t>
      </w:r>
      <w:r>
        <w:rPr/>
      </w:r>
      <w:r>
        <w:t xml:space="preserve">Equipment that is not primarily used or leased for use in the operation of the real property; or</w:t>
      </w:r>
    </w:p>
    <w:p>
      <w:pPr>
        <w:jc w:val="both"/>
        <w:spacing w:before="100" w:after="0"/>
        <w:ind w:start="1080"/>
      </w:pPr>
      <w:r>
        <w:rPr/>
        <w:t>(</w:t>
        <w:t>iii</w:t>
        <w:t xml:space="preserve">)  </w:t>
      </w:r>
      <w:r>
        <w:rPr/>
      </w:r>
      <w:r>
        <w:t xml:space="preserve">Replacements of domestic appliances that are consumer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conflicting interest is a lien on the real property obtained by legal or equitable proceedings after the security interest was perfected by any method permitted by this Article;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security interest is:</w:t>
      </w:r>
    </w:p>
    <w:p>
      <w:pPr>
        <w:jc w:val="both"/>
        <w:spacing w:before="100" w:after="0"/>
        <w:ind w:start="1080"/>
      </w:pPr>
      <w:r>
        <w:rPr/>
        <w:t>(</w:t>
        <w:t>i</w:t>
        <w:t xml:space="preserve">)  </w:t>
      </w:r>
      <w:r>
        <w:rPr/>
      </w:r>
      <w:r>
        <w:t xml:space="preserve">Created in a manufactured home in a manufactured-home transaction; and</w:t>
      </w:r>
    </w:p>
    <w:p>
      <w:pPr>
        <w:jc w:val="both"/>
        <w:spacing w:before="100" w:after="0"/>
        <w:ind w:start="1080"/>
      </w:pPr>
      <w:r>
        <w:rPr/>
        <w:t>(</w:t>
        <w:t>ii</w:t>
        <w:t xml:space="preserve">)  </w:t>
      </w:r>
      <w:r>
        <w:rPr/>
      </w:r>
      <w:r>
        <w:t xml:space="preserve">Perfected pursuant to a statute described in </w:t>
      </w:r>
      <w:r>
        <w:t>section 9‑1311,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A security interest in fixtures, whether or not perfected, has priority over a conflicting interest of an encumbrancer or owner of the real property if:</w:t>
      </w:r>
    </w:p>
    <w:p>
      <w:pPr>
        <w:jc w:val="both"/>
        <w:spacing w:before="100" w:after="0"/>
        <w:ind w:start="720"/>
      </w:pPr>
      <w:r>
        <w:rPr/>
        <w:t>(a)</w:t>
        <w:t xml:space="preserve">.  </w:t>
      </w:r>
      <w:r>
        <w:rPr/>
      </w:r>
      <w:r>
        <w:t xml:space="preserve">The encumbrancer or owner has, in an authenticated record, consented to the security interest or disclaimed an interest in the goods as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has a right to remove the goods as against the encumbrancer or owner.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The priority of the security interest under </w:t>
      </w:r>
      <w:r>
        <w:t>subsection (6), paragraph (b)</w:t>
      </w:r>
      <w:r>
        <w:t xml:space="preserve"> continues for a reasonable time if the debtor's right to remove the goods as against the encumbrancer or owner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 mortgage is a construction mortgage to the extent that it secures an obligation incurred for the construction of an improvement on land, including the acquisition cost of the land, if a recorded record of the mortgage so indicates.  Except as otherwise provided in </w:t>
      </w:r>
      <w:r>
        <w:t>subsections (5)</w:t>
      </w:r>
      <w:r>
        <w:t xml:space="preserve"> and </w:t>
      </w:r>
      <w:r>
        <w:t>(6)</w:t>
      </w:r>
      <w:r>
        <w:t xml:space="preserve">,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(9)</w:t>
        <w:t xml:space="preserve">.  </w:t>
      </w:r>
      <w:r>
        <w:rPr>
          <w:b/>
        </w:rPr>
      </w:r>
      <w:r>
        <w:t xml:space="preserve"> </w:t>
      </w:r>
      <w:r>
        <w:t xml:space="preserve">A perfected security interest in crops growing on real property has priority over a conflicting interest of an encumbrancer or owner of the real property if the debtor has an interest of record in or is in possession of the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§9-1334. Priority of security interests in fixtures and crops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§9-1334. Priority of security interests in fixtures and crops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§9-1334. PRIORITY OF SECURITY INTERESTS IN FIXTURES AND CROPS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