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§9-1613. Contents and form of notification before disposition of collateral: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§9-1613. CONTENTS AND FORM OF NOTIFICATION BEFORE DISPOSITION OF COLLATERAL: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