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9-1619</w:t>
        <w:t xml:space="preserve">.  </w:t>
      </w:r>
      <w:r>
        <w:rPr>
          <w:b/>
        </w:rPr>
        <w:t xml:space="preserve">Transfer of record or legal title</w:t>
      </w:r>
    </w:p>
    <w:p>
      <w:pPr>
        <w:jc w:val="both"/>
        <w:spacing w:before="100" w:after="100"/>
        <w:ind w:start="360"/>
        <w:ind w:firstLine="360"/>
      </w:pPr>
      <w:r>
        <w:rPr>
          <w:b/>
        </w:rPr>
        <w:t>(1)</w:t>
        <w:t xml:space="preserve">.  </w:t>
      </w:r>
      <w:r>
        <w:rPr>
          <w:b/>
        </w:rPr>
      </w:r>
      <w:r>
        <w:t xml:space="preserve"> </w:t>
      </w:r>
      <w:r>
        <w:t xml:space="preserve">In this section, "transfer statement" means a record authenticated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pPr>
        <w:jc w:val="both"/>
        <w:spacing w:before="100" w:after="0"/>
        <w:ind w:start="720"/>
      </w:pPr>
      <w:r>
        <w:rPr/>
        <w:t>(a)</w:t>
        <w:t xml:space="preserve">.  </w:t>
      </w:r>
      <w:r>
        <w:rPr/>
      </w:r>
      <w:r>
        <w:t xml:space="preserve">Accept the transfer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Promptly amend its records to reflect the transfer;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applicable, issue a new appropriate certificate of title in the name of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transfer of the record or legal title to collateral to a secured party under </w:t>
      </w:r>
      <w:r>
        <w:t>subsection (2)</w:t>
      </w:r>
      <w:r>
        <w:t xml:space="preserve"> or otherwise is not of itself a disposition of collateral under this Article and does not of itself relieve the secured party of its duties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§9-1619. Transfer of record or legal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§9-1619. Transfer of record or legal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§9-1619. TRANSFER OF RECORD OR LEGAL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