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§9-1707. Amendment of preeffective-date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§9-1707. Amendment of preeffective-date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§9-1707. AMENDMENT OF PREEFFECTIVE-DATE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