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SURVEYORS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Appointment; oath;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jc w:val="both"/>
        <w:spacing w:before="100" w:after="100"/>
        <w:ind w:start="1080" w:hanging="720"/>
      </w:pPr>
      <w:r>
        <w:rPr>
          <w:b/>
        </w:rPr>
        <w:t>§</w:t>
        <w:t>702</w:t>
        <w:t xml:space="preserve">.  </w:t>
      </w:r>
      <w:r>
        <w:rPr>
          <w:b/>
        </w:rPr>
        <w:t xml:space="preserve">Plans and field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207.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207.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