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432, §1 (AMD). PL 1973, c. 462, §1 (AMD). PL 1973, c. 513, §1 (AMD). PL 1973, c. 663, §1 (AMD). PL 1977, c. 564, §§56,57 (AMD). PL 1977, c. 661, §4 (RP). </w:t>
      </w:r>
    </w:p>
    <w:p>
      <w:pPr>
        <w:jc w:val="both"/>
        <w:spacing w:before="100" w:after="100"/>
        <w:ind w:start="1080" w:hanging="720"/>
      </w:pPr>
      <w:r>
        <w:rPr>
          <w:b/>
        </w:rPr>
        <w:t>§</w:t>
        <w:t>3402</w:t>
        <w:t xml:space="preserve">.  </w:t>
      </w:r>
      <w:r>
        <w:rPr>
          <w:b/>
        </w:rPr>
        <w:t xml:space="preserve">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3403</w:t>
        <w:t xml:space="preserve">.  </w:t>
      </w:r>
      <w:r>
        <w:rPr>
          <w:b/>
        </w:rPr>
        <w:t xml:space="preserve">The applicability of the marine resources law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337, §1 (AMD). PL 1973, c. 508 (AMD). PL 1975, c. 275, §1 (RPR). PL 1975, c. 743, §1 (AMD). PL 1977, c. 661, §4 (RP). </w:t>
      </w:r>
    </w:p>
    <w:p>
      <w:pPr>
        <w:jc w:val="both"/>
        <w:spacing w:before="100" w:after="100"/>
        <w:ind w:start="1080" w:hanging="720"/>
      </w:pPr>
      <w:r>
        <w:rPr>
          <w:b/>
        </w:rPr>
        <w:t>§</w:t>
        <w:t>3404</w:t>
        <w:t xml:space="preserve">.  </w:t>
      </w:r>
      <w:r>
        <w:rPr>
          <w:b/>
        </w:rPr>
        <w:t xml:space="preserve">Regulations of commissioner and salmon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 (AMD). PL 1977, c. 661, §4 (RP). </w:t>
      </w:r>
    </w:p>
    <w:p>
      <w:pPr>
        <w:jc w:val="both"/>
        <w:spacing w:before="100" w:after="100"/>
        <w:ind w:start="1080" w:hanging="720"/>
      </w:pPr>
      <w:r>
        <w:rPr>
          <w:b/>
        </w:rPr>
        <w:t>§</w:t>
        <w:t>3405</w:t>
        <w:t xml:space="preserve">.  </w:t>
      </w:r>
      <w:r>
        <w:rPr>
          <w:b/>
        </w:rPr>
        <w:t xml:space="preserve">Concurrent jurisidiction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401.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