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625</w:t>
      </w:r>
    </w:p>
    <w:p>
      <w:pPr>
        <w:jc w:val="center"/>
        <w:ind w:start="360"/>
        <w:spacing w:before="300" w:after="300"/>
      </w:pPr>
      <w:r>
        <w:rPr>
          <w:b/>
        </w:rPr>
        <w:t xml:space="preserve">WHOLESALE AND RETAIL LICENSES</w:t>
      </w:r>
    </w:p>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625. WHOLESALE AND 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625. WHOLESALE AND 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625. WHOLESALE AND 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