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931</w:t>
      </w:r>
    </w:p>
    <w:p>
      <w:pPr>
        <w:jc w:val="center"/>
        <w:ind w:start="360"/>
        <w:spacing w:before="300" w:after="300"/>
      </w:pPr>
      <w:r>
        <w:rPr>
          <w:b/>
        </w:rPr>
        <w:t xml:space="preserve">TAXIDERMISTS AND HIDE DEALERS</w:t>
      </w:r>
    </w:p>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931. TAXIDERMISTS AND HIDE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931. TAXIDERMISTS AND HIDE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931. TAXIDERMISTS AND HIDE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