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10051</w:t>
        <w:t xml:space="preserve">.  </w:t>
      </w:r>
      <w:r>
        <w:rPr>
          <w:b/>
        </w:rPr>
        <w:t xml:space="preserve">Department established</w:t>
      </w:r>
    </w:p>
    <w:p>
      <w:pPr>
        <w:jc w:val="both"/>
        <w:spacing w:before="100" w:after="100"/>
        <w:ind w:start="360"/>
        <w:ind w:firstLine="360"/>
      </w:pPr>
      <w:r>
        <w:rPr/>
      </w:r>
      <w:r>
        <w:rPr/>
      </w:r>
      <w: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to provide for effective management of these resources; and to use regulated hunting, fishing and trapping as the basis for the management of these resources whenever feasible.</w:t>
      </w:r>
      <w:r>
        <w:t xml:space="preserve">  </w:t>
      </w:r>
      <w:r xmlns:wp="http://schemas.openxmlformats.org/drawingml/2010/wordprocessingDrawing" xmlns:w15="http://schemas.microsoft.com/office/word/2012/wordml">
        <w:rPr>
          <w:rFonts w:ascii="Arial" w:hAnsi="Arial" w:cs="Arial"/>
          <w:sz w:val="22"/>
          <w:szCs w:val="22"/>
        </w:rPr>
        <w:t xml:space="preserve">[PL 2015, c. 416, §1 (AMD).]</w:t>
      </w:r>
    </w:p>
    <w:p>
      <w:pPr>
        <w:jc w:val="both"/>
        <w:spacing w:before="100" w:after="100"/>
        <w:ind w:start="360"/>
        <w:ind w:firstLine="360"/>
      </w:pPr>
      <w:r>
        <w:rPr/>
      </w:r>
      <w:r>
        <w:rPr/>
      </w:r>
      <w:r>
        <w:t xml:space="preserve">The department consists of the Commissioner of Inland Fisheries and Wildlife, a deputy commissioner, the Division of Licensing, Registration and Engineering, the Bureau of Resource Management and the Bureau of Warden Service. The department also includes the Advisory Board for the Licensing of Guides and whatever state agencies that are designated. The department is under the control and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652, Pt. A,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340, §1 (AMD). PL 2009, c. 369, Pt. A, §26 (AMD). PL 2009, c. 652, Pt. A, §13 (AMD). PL 2015, c. 416,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§10051.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