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23. Grant expenditures;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3. Grant expenditures;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3. GRANT EXPENDITURES;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