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10650</w:t>
        <w:t xml:space="preserve">.  </w:t>
      </w:r>
      <w:r>
        <w:rPr>
          <w:b/>
        </w:rPr>
        <w:t xml:space="preserve">General rule violation</w:t>
      </w:r>
    </w:p>
    <w:p>
      <w:pPr>
        <w:jc w:val="both"/>
        <w:spacing w:before="100" w:after="100"/>
        <w:ind w:start="360"/>
        <w:ind w:firstLine="360"/>
      </w:pPr>
      <w:r>
        <w:rPr/>
      </w:r>
      <w:r>
        <w:rPr/>
      </w:r>
      <w:r>
        <w:t xml:space="preserve">Except as otherwise provided, a person who violates a provision of a rule adopted in accordance with this Part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§67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§B67 (NEW). PL 2003, c. 655, §B422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§10650. General rule violation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§10650. General rule violation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§10650. GENERAL RULE VIOLATION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