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10753</w:t>
        <w:t xml:space="preserve">.  </w:t>
      </w:r>
      <w:r>
        <w:rPr>
          <w:b/>
        </w:rPr>
        <w:t xml:space="preserve">Proof of residency</w:t>
      </w:r>
    </w:p>
    <w:p>
      <w:pPr>
        <w:jc w:val="both"/>
        <w:spacing w:before="100" w:after="100"/>
        <w:ind w:start="360"/>
        <w:ind w:firstLine="360"/>
      </w:pPr>
      <w:r>
        <w:rPr/>
      </w:r>
      <w:r>
        <w:rPr/>
      </w:r>
      <w:r>
        <w:t xml:space="preserve">An applicant for a license or permit under this Part is responsible for submitting proof of residency to the agent or the department, or both.  A resident license issued to a person unable to meet the residency requirements at the time the license was issued is invalid and must be returned to the commissioner upon request. A resident license is valid as long as the license holder continues to satisfy the residency requirements set out in </w:t>
      </w:r>
      <w:r>
        <w:t>section 10001, subsection 53</w:t>
      </w:r>
      <w:r>
        <w:t xml:space="preserve"> and the license is not revoked, suspended or otherwise invalid under this Part.</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§86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§B86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§10753. Proof of residency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§10753. Proof of residency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§10753. PROOF OF RESIDENCY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