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10852</w:t>
        <w:t xml:space="preserve">.  </w:t>
      </w:r>
      <w:r>
        <w:rPr>
          <w:b/>
        </w:rPr>
        <w:t xml:space="preserve">Lifetime privileges to be honored</w:t>
      </w:r>
    </w:p>
    <w:p>
      <w:pPr>
        <w:jc w:val="both"/>
        <w:spacing w:before="100" w:after="100"/>
        <w:ind w:start="360"/>
        <w:ind w:firstLine="360"/>
      </w:pPr>
      <w:r>
        <w:rPr/>
      </w:r>
      <w:r>
        <w:rPr/>
      </w:r>
      <w:r>
        <w:t xml:space="preserve">A lifetime license issued under this subchapter is valid for the life of the license holder unless lawfully suspended or revoked by the commissioner for a violation of fish and wildlife laws under this Part. The Legislature may not otherwise act in any way to limit or end the right of a person holding a lifetime license to the lifetime enjoyment of all the rights and privileges authorized by that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§10852. Lifetime privileges to be honored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§10852. Lifetime privileges to be honored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§10852. LIFETIME PRIVILEGES TO BE HONORED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