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10904</w:t>
        <w:t xml:space="preserve">.  </w:t>
      </w:r>
      <w:r>
        <w:rPr>
          <w:b/>
        </w:rPr>
        <w:t xml:space="preserve">Time limit for nonmandatory suspension decision and notice of suspension</w:t>
      </w:r>
    </w:p>
    <w:p>
      <w:pPr>
        <w:jc w:val="both"/>
        <w:spacing w:before="100" w:after="100"/>
        <w:ind w:start="360"/>
        <w:ind w:firstLine="360"/>
      </w:pPr>
      <w:r>
        <w:rPr/>
      </w:r>
      <w:r>
        <w:rPr/>
      </w:r>
      <w:r>
        <w:t xml:space="preserve">A decision by the commissioner to suspend a license of a person convicted or adjudicated of a violation that does not carry a mandatory suspension must be made within 60 days after that conviction.  The commissioner shall give written notice of a suspension immediately following the decision to suspend.  A notice of suspension must name the license or permit that is suspended and state the effective date and length of the suspension and must inform the person of any applicable hearing provisions under </w:t>
      </w:r>
      <w:r>
        <w:t>section 10905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§104 (AMD);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§B104 (AMD). PL 2003, c. 655, §B422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§10904. Time limit for nonmandatory suspension decision and notice of suspension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§10904. Time limit for nonmandatory suspension decision and notice of suspension</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§10904. TIME LIMIT FOR NONMANDATORY SUSPENSION DECISION AND NOTICE OF SUSPENSION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