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Application and issuance</w:t>
      </w:r>
    </w:p>
    <w:p>
      <w:pPr>
        <w:jc w:val="both"/>
        <w:spacing w:before="100" w:after="100"/>
        <w:ind w:start="360"/>
        <w:ind w:firstLine="360"/>
      </w:pPr>
      <w:r>
        <w:rPr/>
      </w:r>
      <w:r>
        <w:rPr/>
      </w:r>
      <w:r>
        <w:t xml:space="preserve">A resident or nonresident may apply for and the commissioner or the commissioner's authorized agent may issue a written license to hunt wild animals and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§11101.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§11101.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