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§12555. Checking baitfish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§12555. Checking baitfish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§12555. CHECKING BAITFISH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