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12608</w:t>
        <w:t xml:space="preserve">.  </w:t>
      </w:r>
      <w:r>
        <w:rPr>
          <w:b/>
        </w:rPr>
        <w:t xml:space="preserve">Failure to label fish</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keep the following species of fish at any sporting camp, hotel or public lodging place unless the name and address of the person who caught the fish is attached to the fish:</w:t>
      </w:r>
    </w:p>
    <w:p>
      <w:pPr>
        <w:jc w:val="both"/>
        <w:spacing w:before="100" w:after="0"/>
        <w:ind w:start="720"/>
      </w:pPr>
      <w:r>
        <w:rPr/>
        <w:t>A</w:t>
        <w:t xml:space="preserve">.  </w:t>
      </w:r>
      <w:r>
        <w:rPr/>
      </w:r>
      <w:r>
        <w:t xml:space="preserve">Black bass;</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w:pPr>
        <w:jc w:val="both"/>
        <w:spacing w:before="100" w:after="0"/>
        <w:ind w:start="720"/>
      </w:pPr>
      <w:r>
        <w:rPr/>
        <w:t>B</w:t>
        <w:t xml:space="preserve">.  </w:t>
      </w:r>
      <w:r>
        <w:rPr/>
      </w:r>
      <w:r>
        <w:t xml:space="preserve">Salmon;</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w:pPr>
        <w:jc w:val="both"/>
        <w:spacing w:before="100" w:after="0"/>
        <w:ind w:start="720"/>
      </w:pPr>
      <w:r>
        <w:rPr/>
        <w:t>C</w:t>
        <w:t xml:space="preserve">.  </w:t>
      </w:r>
      <w:r>
        <w:rPr/>
      </w:r>
      <w:r>
        <w:t xml:space="preserve">Togue; or</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w:pPr>
        <w:jc w:val="both"/>
        <w:spacing w:before="100" w:after="0"/>
        <w:ind w:start="720"/>
      </w:pPr>
      <w:r>
        <w:rPr/>
        <w:t>D</w:t>
        <w:t xml:space="preserve">.  </w:t>
      </w:r>
      <w:r>
        <w:rPr/>
      </w:r>
      <w:r>
        <w:t xml:space="preserve">Trout.</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§269 (RPR);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§269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§B269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§12608. Failure to label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§12608. Failure to label fish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§12608. FAILURE TO LABEL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