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§12660. Antifreeze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§12660. Antifreeze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§12660. ANTIFREEZE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