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13060-A</w:t>
        <w:t xml:space="preserve">.  </w:t>
      </w:r>
      <w:r>
        <w:rPr>
          <w:b/>
        </w:rPr>
        <w:t xml:space="preserve">Temporary registration certificate</w:t>
      </w:r>
    </w:p>
    <w:p>
      <w:pPr>
        <w:jc w:val="both"/>
        <w:spacing w:before="100" w:after="0"/>
        <w:ind w:start="360"/>
        <w:ind w:firstLine="360"/>
      </w:pPr>
      <w:r>
        <w:rPr>
          <w:b/>
        </w:rPr>
        <w:t>1</w:t>
        <w:t xml:space="preserve">.  </w:t>
      </w:r>
      <w:r>
        <w:rPr>
          <w:b/>
        </w:rPr>
        <w:t xml:space="preserve">Twenty-day certificate.</w:t>
        <w:t xml:space="preserve"> </w:t>
      </w:r>
      <w:r>
        <w:t xml:space="preserve"> </w:t>
      </w:r>
      <w:r>
        <w:t xml:space="preserve">The commissioner may issue temporary registration certificates to a registered dealer, who may, upon the sale or exchange of a boat, issue a temporary registration certificate to a new owner in order to allow the new owner to operate the boat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operates a boat with an expired temporary registration certificate commits a civil violation for which a fine of not less than $50 nor more than $250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§13060-A. Temporary registration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§13060-A. Temporary registration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§13060-A. TEMPORARY REGISTRATION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