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13157-C</w:t>
        <w:t xml:space="preserve">.  </w:t>
      </w:r>
      <w:r>
        <w:rPr>
          <w:b/>
        </w:rPr>
        <w:t xml:space="preserve">ATV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an ATV accident within 72 hours to the commissioner on forms provided by the commissioner if the person is:</w:t>
      </w:r>
    </w:p>
    <w:p>
      <w:pPr>
        <w:jc w:val="both"/>
        <w:spacing w:before="100" w:after="0"/>
        <w:ind w:start="720"/>
      </w:pPr>
      <w:r>
        <w:rPr/>
        <w:t>A</w:t>
        <w:t xml:space="preserve">.  </w:t>
      </w:r>
      <w:r>
        <w:rPr/>
      </w:r>
      <w:r>
        <w:t xml:space="preserve">The operator of an ATV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acting for the operator of an ATV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C</w:t>
        <w:t xml:space="preserve">.  </w:t>
      </w:r>
      <w:r>
        <w:rPr/>
      </w:r>
      <w:r>
        <w:t xml:space="preserve">The owner of an ATV described in </w:t>
      </w:r>
      <w:r>
        <w:t>paragraph A</w:t>
      </w:r>
      <w:r>
        <w:t xml:space="preserve"> having knowledge of the accident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§13157-C. ATV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§13157-C. ATV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§13157-C. ATV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