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Referendum</w:t>
      </w:r>
    </w:p>
    <w:p>
      <w:pPr>
        <w:jc w:val="both"/>
        <w:spacing w:before="100" w:after="100"/>
        <w:ind w:start="360"/>
        <w:ind w:firstLine="360"/>
      </w:pPr>
      <w:r>
        <w:rPr/>
      </w:r>
      <w:r>
        <w:rPr/>
      </w:r>
      <w:r>
        <w:t xml:space="preserve">After the Department of Agriculture, Conservation and Forestry has made and recorded a determination that there is need for the organization of a district in a particular territory and has defined the boundaries thereof, it shall consider the question whether the operation of a district within such boundaries is administratively practicable and feasible. To assist the Department of Agriculture, Conservation and Forestry in the determination of such administrative practicability and feasibility, it shall, within a reasonable time after entry of the finding that there is need for the organization of the proposed district, cause due notice of a referendum to be given, and hold such referendum within the proposed district. The question shall be submitted by ballots. The usual voting places available for regular elections within the district shall be available for the purposes of such referenda, and city and town officials are directed to assist in the carrying out of such referenda.</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All occupiers of lands lying within the boundaries of the territory, as determined by the State Department of Agriculture, Conservation and Forestry, and only such land occupiers, shall be eligible to vote in such referendum.</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§16 (AMD). PL 1969, c. 477, §1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§153.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§153.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