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§1805-A. DESIGNATION OF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