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§1825. ADMINISTER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