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 officers -- Article V</w:t>
      </w:r>
    </w:p>
    <w:p>
      <w:pPr>
        <w:jc w:val="both"/>
        <w:spacing w:before="100" w:after="100"/>
        <w:ind w:start="360"/>
        <w:ind w:firstLine="360"/>
      </w:pPr>
      <w:r>
        <w:rPr/>
      </w:r>
      <w:r>
        <w:rPr/>
      </w:r>
      <w:r>
        <w:t xml:space="preserve">The commission shall elect from its number a chair and a vice-chair and shall appoint and at its pleasure remove or discharge such officers and employees as may be required to carry this compact into effect and shall fix and determine their duties, qualifications and compensation. The commission shall adopt rules for the conduct of its business and may establish and maintain one or more offices for the transaction of its business and may meet at any time or place but must meet at least once a year.</w:t>
      </w:r>
      <w:r>
        <w:t xml:space="preserve">  </w:t>
      </w:r>
      <w:r xmlns:wp="http://schemas.openxmlformats.org/drawingml/2010/wordprocessingDrawing" xmlns:w15="http://schemas.microsoft.com/office/word/2012/wordml">
        <w:rPr>
          <w:rFonts w:ascii="Arial" w:hAnsi="Arial" w:cs="Arial"/>
          <w:sz w:val="22"/>
          <w:szCs w:val="22"/>
        </w:rPr>
        <w:t xml:space="preserve">[RR 2021,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§4605. -- officers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 officers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§4605. -- OFFICERS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