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w:t>
        <w:t xml:space="preserve">.  </w:t>
      </w:r>
      <w:r>
        <w:rPr>
          <w:b/>
        </w:rPr>
        <w:t xml:space="preserve">Annual exploration registration</w:t>
      </w:r>
    </w:p>
    <w:p>
      <w:pPr>
        <w:jc w:val="both"/>
        <w:spacing w:before="100" w:after="100"/>
        <w:ind w:start="360"/>
        <w:ind w:firstLine="360"/>
      </w:pPr>
      <w:r>
        <w:rPr/>
      </w:r>
      <w:r>
        <w:rPr/>
      </w:r>
      <w:r>
        <w:t xml:space="preserve">Annual registration shall be required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360"/>
        <w:ind w:firstLine="360"/>
      </w:pPr>
      <w:r>
        <w:rPr>
          <w:b/>
        </w:rPr>
        <w:t>1</w:t>
        <w:t xml:space="preserve">.  </w:t>
      </w:r>
      <w:r>
        <w:rPr>
          <w:b/>
        </w:rPr>
        <w:t xml:space="preserve">Registration.</w:t>
        <w:t xml:space="preserve"> </w:t>
      </w:r>
      <w:r>
        <w:t xml:space="preserve"> </w:t>
      </w:r>
      <w:r>
        <w:t xml:space="preserve">Any person conducting mineral exploration where the total exploration expenses incurred in a calendar year exceed $25,000 on private, leased or otherwise acquired lands within the State must register with the director.  Registration shall be valid for the fiscal year and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w:pPr>
        <w:jc w:val="both"/>
        <w:spacing w:before="100" w:after="100"/>
        <w:ind w:start="360"/>
        <w:ind w:firstLine="360"/>
      </w:pPr>
      <w:r>
        <w:rPr>
          <w:b/>
        </w:rPr>
        <w:t>2</w:t>
        <w:t xml:space="preserve">.  </w:t>
      </w:r>
      <w:r>
        <w:rPr>
          <w:b/>
        </w:rPr>
        <w:t xml:space="preserve">Information.</w:t>
        <w:t xml:space="preserve"> </w:t>
      </w:r>
      <w:r>
        <w:t xml:space="preserve"> </w:t>
      </w:r>
      <w:r>
        <w:t xml:space="preserve">Registration shall include the following information:</w:t>
      </w:r>
    </w:p>
    <w:p>
      <w:pPr>
        <w:jc w:val="both"/>
        <w:spacing w:before="100" w:after="0"/>
        <w:ind w:start="720"/>
      </w:pPr>
      <w:r>
        <w:rPr/>
        <w:t>A</w:t>
        <w:t xml:space="preserve">.  </w:t>
      </w:r>
      <w:r>
        <w:rPr/>
      </w:r>
      <w:r>
        <w:t xml:space="preserve">The name and address of the person conducting the exploration;</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B</w:t>
        <w:t xml:space="preserve">.  </w:t>
      </w:r>
      <w:r>
        <w:rPr/>
      </w:r>
      <w:r>
        <w:t xml:space="preserve">The name and address of the parent and any subsidiaries or domestic affiliates of the corporation engaged in exploration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w:pPr>
        <w:jc w:val="both"/>
        <w:spacing w:before="100" w:after="0"/>
        <w:ind w:start="720"/>
      </w:pPr>
      <w:r>
        <w:rPr/>
        <w:t>C</w:t>
        <w:t xml:space="preserve">.  </w:t>
      </w:r>
      <w:r>
        <w:rPr/>
      </w:r>
      <w:r>
        <w:t xml:space="preserve">The names of counties where exploration is expected to occur.</w:t>
      </w:r>
      <w:r>
        <w:t xml:space="preserve">  </w:t>
      </w:r>
      <w:r xmlns:wp="http://schemas.openxmlformats.org/drawingml/2010/wordprocessingDrawing" xmlns:w15="http://schemas.microsoft.com/office/word/2012/wordml">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§550. Annual exploration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 Annual exploration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§550. ANNUAL EXPLORATION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