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§6027. Other governmental units to file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Other governmental units to file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§6027. OTHER GOVERNMENTAL UNITS TO FILE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