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6032-A</w:t>
        <w:t xml:space="preserve">.  </w:t>
      </w:r>
      <w:r>
        <w:rPr>
          <w:b/>
        </w:rPr>
        <w:t xml:space="preserve">Marine Recreation Fishing Conservation and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Recreation Fishing Conservation and Management Fund, referred to in this section as "the fund," is established within the department.  The commissioner may receive on behalf of the fund funds from any source.  All money received into the fund must be used for the purposes of the fund under </w:t>
      </w:r>
      <w:r>
        <w:t>subsection 2</w:t>
      </w:r>
      <w:r>
        <w:t xml:space="preserve">.  Unexpended balances in the fund at the end of the fiscal year do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w:pPr>
        <w:jc w:val="both"/>
        <w:spacing w:before="100" w:after="0"/>
        <w:ind w:start="360"/>
        <w:ind w:firstLine="360"/>
      </w:pPr>
      <w:r>
        <w:rPr>
          <w:b/>
        </w:rPr>
        <w:t>2</w:t>
        <w:t xml:space="preserve">.  </w:t>
      </w:r>
      <w:r>
        <w:rPr>
          <w:b/>
        </w:rPr>
        <w:t xml:space="preserve">Uses of fund.</w:t>
        <w:t xml:space="preserve"> </w:t>
      </w:r>
      <w:r>
        <w:t xml:space="preserve"> </w:t>
      </w:r>
      <w:r>
        <w:t xml:space="preserve">The commissioner may authorize the expenditure of money from the fund for research and conservation efforts related to the saltwater recreational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§6032-A. Marine Recreation Fishing Conservation and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§6032-A. Marine Recreation Fishing Conservation and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§6032-A. MARINE RECREATION FISHING CONSERVATION AND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