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§6102. MANDATORY QUALITY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