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6304-A</w:t>
        <w:t xml:space="preserve">.  </w:t>
      </w:r>
      <w:r>
        <w:rPr>
          <w:b/>
        </w:rPr>
        <w:t xml:space="preserve">Coastal Fisheries, Research Management and Opportunity Fund</w:t>
      </w:r>
    </w:p>
    <w:p>
      <w:pPr>
        <w:jc w:val="both"/>
        <w:spacing w:before="100" w:after="100"/>
        <w:ind w:start="360"/>
        <w:ind w:firstLine="360"/>
      </w:pPr>
      <w:r>
        <w:rPr/>
      </w:r>
      <w:r>
        <w:rPr/>
      </w:r>
      <w:r>
        <w:t xml:space="preserve">The Coastal Fisheries, Research Management and Opportunity Fund, referred to in this section as "the fund," is established within the department.  For each license or permit issued under this Part, 30% of the fee charged must be deposited into the fund.  The fund must be used to fund scientific research, management or enforcement activities related to marine resources.  Unexpended balances in the fund at the end of a fiscal year do not lapse but must be carried forward to the next fiscal year.  Any interest earned by the fund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§6304-A. Coastal Fisheries, Research Management and Opportunity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§6304-A. Coastal Fisheries, Research Management and Opportunity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§6304-A. COASTAL FISHERIES, RESEARCH MANAGEMENT AND OPPORTUNITY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