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6309</w:t>
        <w:t xml:space="preserve">.  </w:t>
      </w:r>
      <w:r>
        <w:rPr>
          <w:b/>
        </w:rPr>
        <w:t xml:space="preserve">Licensees not in compliance with a court order of support; enforcement of parental support obligations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§3 (RPR); PL 2003, c. 689, Pt. B, §6 (REV).]</w:t>
      </w:r>
    </w:p>
    <w:p>
      <w:pPr>
        <w:jc w:val="both"/>
        <w:spacing w:before="100" w:after="0"/>
        <w:ind w:start="720"/>
      </w:pPr>
      <w:r>
        <w:rPr/>
        <w:t>B</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396,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§3 (AMD); PL 2003, c. 689, Pt. B, §6 (REV).]</w:t>
      </w:r>
    </w:p>
    <w:p>
      <w:pPr>
        <w:jc w:val="both"/>
        <w:spacing w:before="100" w:after="0"/>
        <w:ind w:start="360"/>
        <w:ind w:firstLine="360"/>
      </w:pPr>
      <w:r>
        <w:rPr>
          <w:b/>
        </w:rPr>
        <w:t>2</w:t>
        <w:t xml:space="preserve">.  </w:t>
      </w:r>
      <w:r>
        <w:rPr>
          <w:b/>
        </w:rPr>
        <w:t xml:space="preserve">Noncompliance with a support order.</w:t>
        <w:t xml:space="preserve"> </w:t>
      </w:r>
      <w:r>
        <w:t xml:space="preserve"> </w:t>
      </w:r>
      <w:r>
        <w:t xml:space="preserve">An applicant for the issuance or renewal of a license or an existing licensee regulated by the department under this subpart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§V2 (NEW). PL 1995, c. 694, §D10 (AMD). PL 1995, c. 694, §E2 (AFF). PL 1997, c. 537, §5 (AMD). PL 1997, c. 537, §62 (AFF). PL 2003, c. 396, §§3,4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§6309. Licensees not in compliance with a court order of support; enforcement of parental support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§6309. Licensees not in compliance with a court order of support; enforcement of parental support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§6309. LICENSEES NOT IN COMPLIANCE WITH A COURT ORDER OF SUPPORT; ENFORCEMENT OF PARENTAL SUPPORT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