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§6432-A. Bait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§6432-A. Bait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§6432-A. BAIT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