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6433-A</w:t>
        <w:t xml:space="preserve">.  </w:t>
      </w:r>
      <w:r>
        <w:rPr>
          <w:b/>
        </w:rPr>
        <w:t xml:space="preserve">Biodegradable escape panels</w:t>
      </w:r>
    </w:p>
    <w:p>
      <w:pPr>
        <w:jc w:val="both"/>
        <w:spacing w:before="100" w:after="100"/>
        <w:ind w:start="360"/>
        <w:ind w:firstLine="360"/>
      </w:pPr>
      <w:r>
        <w:rPr/>
      </w:r>
      <w:r>
        <w:rPr/>
      </w:r>
      <w:r>
        <w:t xml:space="preserve">Beginning January 1, 1990, all lobster traps must be equipped with a biodegradable ghost panel.  A "ghost panel" is an escape panel which is designed to release lobsters from traps which are lost while fishing.  The commissioner shall, by rule, provide for implementation of this requirement.  The commissioner may not require ghost panels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1987, c. 569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§6433-A. Biodegradable escape panels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§6433-A. Biodegradable escape panels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§6433-A. BIODEGRADABLE ESCAPE PANELS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