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§6505-A. Elver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§6505-A. Elver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§6505-A. ELVER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