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§8005. Certain information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Certain information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§8005. CERTAIN INFORMATION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