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Liability of railroad not affected</w:t>
      </w:r>
    </w:p>
    <w:p>
      <w:pPr>
        <w:jc w:val="both"/>
        <w:spacing w:before="100" w:after="100"/>
        <w:ind w:start="360"/>
        <w:ind w:firstLine="360"/>
      </w:pPr>
      <w:r>
        <w:rPr/>
      </w:r>
      <w:r>
        <w:rPr/>
      </w:r>
      <w:r>
        <w:t xml:space="preserve">Nothing in </w:t>
      </w:r>
      <w:r>
        <w:t>sections 9401</w:t>
      </w:r>
      <w:r>
        <w:t xml:space="preserve"> to </w:t>
      </w:r>
      <w:r>
        <w:t>9403</w:t>
      </w:r>
      <w:r>
        <w:t xml:space="preserve"> shall be construed as releasing any railroad company from any damage caused by fires set by their locomotives or employees.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§9404. Liability of railroad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Liability of railroad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§9404. LIABILITY OF RAILROAD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